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205A7BF" w:rsidR="00B4741E" w:rsidRPr="00774B7C" w:rsidRDefault="008C05E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D8A4C39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C05EE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74B7C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Արարատի տարածքային բաժնի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գ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9E1C13" w:rsidRPr="009E1C1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Արարատի մարզ, ք</w:t>
      </w:r>
      <w:r w:rsidR="009E1C13" w:rsidRPr="009E1C1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9E1C13" w:rsidRPr="009E1C13">
        <w:rPr>
          <w:rFonts w:ascii="GHEA Grapalat" w:hAnsi="GHEA Grapalat"/>
          <w:sz w:val="24"/>
          <w:szCs w:val="24"/>
          <w:lang w:val="hy-AM" w:eastAsia="hy-AM"/>
        </w:rPr>
        <w:t xml:space="preserve"> Արտաշատ, Օգոստոսի 23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26CA5D1" w:rsidR="00B4741E" w:rsidRPr="00774B7C" w:rsidRDefault="003C5A2B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Արարատի տարածքային բաժնի 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գլխավոր մասնագետի (ծածկագիր՝ 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գ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6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44ADD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AD3377C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E1C13">
        <w:rPr>
          <w:rFonts w:ascii="GHEA Grapalat" w:eastAsia="Sylfaen" w:hAnsi="GHEA Grapalat" w:cs="Sylfaen"/>
          <w:sz w:val="24"/>
          <w:szCs w:val="24"/>
          <w:lang w:val="hy-AM"/>
        </w:rPr>
        <w:t>սեպտեմբերի 30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9E1C13">
        <w:rPr>
          <w:rFonts w:ascii="GHEA Grapalat" w:eastAsia="Sylfaen" w:hAnsi="GHEA Grapalat" w:cs="Sylfaen"/>
          <w:sz w:val="24"/>
          <w:szCs w:val="24"/>
          <w:lang w:val="hy-AM"/>
        </w:rPr>
        <w:t>հոկտեմբերի 6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7FD6E9FB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նոյեմբերի 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0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8BCA90F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2022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նոյեմբերի 4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A3724A" w14:textId="77777777" w:rsidR="008C05EE" w:rsidRPr="00EC13E1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35645853" w14:textId="77777777" w:rsidR="008C05EE" w:rsidRPr="00EC13E1" w:rsidRDefault="008C05EE" w:rsidP="008C05E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59D4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D420A0" w14:textId="77777777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0F482B9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4F47E2ED" w14:textId="77777777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3D97145" w14:textId="77777777" w:rsidR="008C05EE" w:rsidRPr="00490815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B5180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1468313F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7C35E9C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FBF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659D5CE" w14:textId="77777777" w:rsidR="008C05EE" w:rsidRDefault="008C05EE" w:rsidP="008C05E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1F6C383F" w14:textId="77777777" w:rsidR="008C05EE" w:rsidRPr="00490815" w:rsidRDefault="008C05EE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9F53219" w14:textId="15D65DF2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12, 23, 33, 37, 225, 254, 282</w:t>
      </w:r>
    </w:p>
    <w:p w14:paraId="1ADB6812" w14:textId="7F8F1A86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https://www.arlis.am/DocumentView.aspx?docid=167042</w:t>
        </w:r>
      </w:hyperlink>
    </w:p>
    <w:p w14:paraId="69F6512B" w14:textId="08AE87CF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2A9CBE22" w14:textId="5A36DF17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06194CCD" w14:textId="13A406FA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AC68A2" w14:textId="77777777" w:rsidR="009E1C13" w:rsidRPr="008C05EE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323A29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FEDF4DD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>Հոդվածներ՝  3, 20, 21, 30, 44, 53, 88</w:t>
      </w:r>
    </w:p>
    <w:p w14:paraId="140C9D29" w14:textId="097BC72E" w:rsidR="008C05EE" w:rsidRDefault="008C05EE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="005F64CC" w:rsidRPr="005F64CC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4E3CD1DD" w14:textId="77777777" w:rsidR="005F64CC" w:rsidRPr="005F64CC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1B23451C" w14:textId="032FD1B1" w:rsidR="00D95397" w:rsidRDefault="00D95397" w:rsidP="008C05EE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hyperlink r:id="rId14" w:history="1">
        <w:r w:rsidR="008C05EE" w:rsidRPr="00BB5F4B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https://www.arlis.am/documentview.aspx?docid=158646</w:t>
        </w:r>
      </w:hyperlink>
    </w:p>
    <w:p w14:paraId="31993A9A" w14:textId="77777777" w:rsidR="008C05EE" w:rsidRPr="00774B7C" w:rsidRDefault="008C05EE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64EA1519" w14:textId="1C7040E9" w:rsidR="008C05EE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5" w:history="1">
        <w:r w:rsidR="008C05EE" w:rsidRPr="00BB5F4B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https://www.arlis.am/DocumentView.aspx?docid=166794</w:t>
        </w:r>
      </w:hyperlink>
    </w:p>
    <w:p w14:paraId="7DDA2D74" w14:textId="77777777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2D942F85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8C05EE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https://www.arlis.am/documentview.aspx?docid=148957</w:t>
        </w:r>
      </w:hyperlink>
    </w:p>
    <w:p w14:paraId="6E5F2C4D" w14:textId="77777777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5D70BA06" w14:textId="39FA2EDD" w:rsidR="00D95397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F33939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</w:p>
    <w:p w14:paraId="7FF2E0DE" w14:textId="5673F7E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F33939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23A9A7E3" w14:textId="7416D3D4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F33939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 Էջեր՝ 70-129</w:t>
      </w:r>
    </w:p>
    <w:p w14:paraId="3E9A7BAB" w14:textId="474AAA9F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F33939">
        <w:rPr>
          <w:lang w:val="hy-AM"/>
        </w:rPr>
        <w:t xml:space="preserve">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47871E8C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5ABA904" w14:textId="7777777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57FD538" w14:textId="0821AE53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5423AC38" w14:textId="3FDEECFB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7792C93E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53F34C0" w14:textId="42DE35EF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74D792DF" w14:textId="61C7F4E1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0D2A6F26" w14:textId="4F0A3A86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F33939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2FF6BB47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187361AC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CF2169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9E1C13">
      <w:pgSz w:w="12240" w:h="15840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D3869" w14:textId="77777777" w:rsidR="00CF2169" w:rsidRDefault="00CF2169" w:rsidP="00C47A7F">
      <w:r>
        <w:separator/>
      </w:r>
    </w:p>
  </w:endnote>
  <w:endnote w:type="continuationSeparator" w:id="0">
    <w:p w14:paraId="49A61E3D" w14:textId="77777777" w:rsidR="00CF2169" w:rsidRDefault="00CF216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2EC01" w14:textId="77777777" w:rsidR="00CF2169" w:rsidRDefault="00CF2169" w:rsidP="00C47A7F">
      <w:r>
        <w:separator/>
      </w:r>
    </w:p>
  </w:footnote>
  <w:footnote w:type="continuationSeparator" w:id="0">
    <w:p w14:paraId="6B7208B1" w14:textId="77777777" w:rsidR="00CF2169" w:rsidRDefault="00CF216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D260C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C05EE"/>
    <w:rsid w:val="008C0EE7"/>
    <w:rsid w:val="008C40EE"/>
    <w:rsid w:val="008E72F3"/>
    <w:rsid w:val="008F718E"/>
    <w:rsid w:val="0090504B"/>
    <w:rsid w:val="00906AB3"/>
    <w:rsid w:val="00907736"/>
    <w:rsid w:val="00911A44"/>
    <w:rsid w:val="00944ADD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1C13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F2169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71-28.2.&#1379;-&#1348;2-6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957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6794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58646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156</cp:revision>
  <cp:lastPrinted>2021-03-16T05:33:00Z</cp:lastPrinted>
  <dcterms:created xsi:type="dcterms:W3CDTF">2020-06-06T12:47:00Z</dcterms:created>
  <dcterms:modified xsi:type="dcterms:W3CDTF">2022-09-30T06:19:00Z</dcterms:modified>
</cp:coreProperties>
</file>