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5B5E223E" w:rsidR="00B4741E" w:rsidRPr="00470C54" w:rsidRDefault="00CC0BF4" w:rsidP="00F06493">
      <w:pPr>
        <w:spacing w:line="276" w:lineRule="auto"/>
        <w:ind w:left="360" w:right="9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F77D39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E637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էներգետիկայի և էներգասպառման վերահսկողության բաժանմունքի </w:t>
      </w:r>
      <w:r w:rsidR="0016328D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F06493" w:rsidRPr="00C775E0">
        <w:rPr>
          <w:rFonts w:ascii="GHEA Grapalat" w:hAnsi="GHEA Grapalat" w:cs="Arial Armenian"/>
          <w:bCs/>
          <w:sz w:val="24"/>
          <w:szCs w:val="24"/>
          <w:lang w:val="hy-AM"/>
        </w:rPr>
        <w:t>71-28.2.ա-Մ</w:t>
      </w:r>
      <w:r w:rsidR="0016328D">
        <w:rPr>
          <w:rFonts w:ascii="GHEA Grapalat" w:hAnsi="GHEA Grapalat" w:cs="Arial Armenian"/>
          <w:bCs/>
          <w:sz w:val="24"/>
          <w:szCs w:val="24"/>
          <w:lang w:val="hy-AM"/>
        </w:rPr>
        <w:t>4</w:t>
      </w:r>
      <w:r w:rsidR="00F06493" w:rsidRPr="00C775E0">
        <w:rPr>
          <w:rFonts w:ascii="GHEA Grapalat" w:hAnsi="GHEA Grapalat" w:cs="Arial Armenian"/>
          <w:bCs/>
          <w:sz w:val="24"/>
          <w:szCs w:val="24"/>
          <w:lang w:val="hy-AM"/>
        </w:rPr>
        <w:t>-</w:t>
      </w:r>
      <w:r w:rsidR="0016328D">
        <w:rPr>
          <w:rFonts w:ascii="GHEA Grapalat" w:hAnsi="GHEA Grapalat" w:cs="Arial Armenian"/>
          <w:bCs/>
          <w:sz w:val="24"/>
          <w:szCs w:val="24"/>
          <w:lang w:val="hy-AM"/>
        </w:rPr>
        <w:t>8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242EBB" w:rsidRPr="00242EB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8E34F34" w:rsidR="00B4741E" w:rsidRPr="00470C54" w:rsidRDefault="00A42A9B" w:rsidP="00F06493">
      <w:pPr>
        <w:shd w:val="clear" w:color="auto" w:fill="FFFFFF"/>
        <w:tabs>
          <w:tab w:val="left" w:pos="900"/>
        </w:tabs>
        <w:spacing w:line="276" w:lineRule="auto"/>
        <w:ind w:left="360" w:right="9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5E637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էներգետիկայի և էներգասպառման վերահսկողության բաժանմունքի </w:t>
      </w:r>
      <w:r w:rsidR="0016328D">
        <w:rPr>
          <w:rFonts w:ascii="GHEA Grapalat" w:hAnsi="GHEA Grapalat"/>
          <w:sz w:val="24"/>
          <w:szCs w:val="24"/>
          <w:lang w:val="hy-AM" w:eastAsia="hy-AM"/>
        </w:rPr>
        <w:t>ավագ</w:t>
      </w:r>
      <w:r w:rsidR="005E6370" w:rsidRPr="00470C54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(ծածկագիր՝ </w:t>
      </w:r>
      <w:r w:rsidR="00F06493" w:rsidRPr="00C775E0">
        <w:rPr>
          <w:rFonts w:ascii="GHEA Grapalat" w:hAnsi="GHEA Grapalat" w:cs="Arial Armenian"/>
          <w:bCs/>
          <w:sz w:val="24"/>
          <w:szCs w:val="24"/>
          <w:lang w:val="hy-AM"/>
        </w:rPr>
        <w:t>71-28.2.ա-Մ</w:t>
      </w:r>
      <w:r w:rsidR="0016328D">
        <w:rPr>
          <w:rFonts w:ascii="GHEA Grapalat" w:hAnsi="GHEA Grapalat" w:cs="Arial Armenian"/>
          <w:bCs/>
          <w:sz w:val="24"/>
          <w:szCs w:val="24"/>
          <w:lang w:val="hy-AM"/>
        </w:rPr>
        <w:t>4-8</w:t>
      </w:r>
      <w:r w:rsidR="005E6370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0A0DDC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240E56AB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4624A6">
        <w:rPr>
          <w:rFonts w:ascii="GHEA Grapalat" w:eastAsia="Sylfaen" w:hAnsi="GHEA Grapalat" w:cs="Sylfaen"/>
          <w:lang w:val="hy-AM"/>
        </w:rPr>
        <w:t>6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թվականի  </w:t>
      </w:r>
      <w:r w:rsidR="0016328D">
        <w:rPr>
          <w:rFonts w:ascii="GHEA Grapalat" w:eastAsia="Sylfaen" w:hAnsi="GHEA Grapalat" w:cs="Sylfaen"/>
          <w:lang w:val="hy-AM"/>
        </w:rPr>
        <w:t>մարտի 11-18</w:t>
      </w:r>
      <w:r w:rsidR="006C0238"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</w:t>
      </w:r>
      <w:r w:rsidRPr="004E70E7">
        <w:rPr>
          <w:rFonts w:ascii="GHEA Grapalat" w:hAnsi="GHEA Grapalat"/>
          <w:lang w:val="hy-AM"/>
        </w:rPr>
        <w:lastRenderedPageBreak/>
        <w:t>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21E93628" w:rsidR="00881865" w:rsidRPr="00240D67" w:rsidRDefault="00881865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Մրցույթի հարցազրույցի փուլը կանցկացվի 202</w:t>
      </w:r>
      <w:r w:rsidR="0016328D"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16328D">
        <w:rPr>
          <w:rFonts w:ascii="GHEA Grapalat" w:hAnsi="GHEA Grapalat"/>
          <w:lang w:val="hy-AM" w:eastAsia="hy-AM"/>
        </w:rPr>
        <w:t>մարտի 30</w:t>
      </w:r>
      <w:r w:rsidRPr="00240D67">
        <w:rPr>
          <w:rFonts w:ascii="GHEA Grapalat" w:hAnsi="GHEA Grapalat"/>
          <w:lang w:val="hy-AM" w:eastAsia="hy-AM"/>
        </w:rPr>
        <w:t xml:space="preserve">-ին՝ ժամը                  </w:t>
      </w:r>
      <w:r w:rsidR="00E872A6">
        <w:rPr>
          <w:rFonts w:ascii="GHEA Grapalat" w:hAnsi="GHEA Grapalat"/>
          <w:lang w:val="hy-AM" w:eastAsia="hy-AM"/>
        </w:rPr>
        <w:t>11</w:t>
      </w:r>
      <w:r w:rsidRPr="00240D67">
        <w:rPr>
          <w:rFonts w:ascii="GHEA Grapalat" w:hAnsi="GHEA Grapalat"/>
          <w:lang w:val="hy-AM" w:eastAsia="hy-AM"/>
        </w:rPr>
        <w:t>:00-ին՝  ք. Երևան, Ռոստոմի փողոց 30, շինություն 243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6EC830C6" w14:textId="21ED9C6C" w:rsidR="0016328D" w:rsidRPr="00866AFF" w:rsidRDefault="0016328D" w:rsidP="0016328D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189.696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մեկ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հար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ութսունինը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վեց հարյուր իննսունվեց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0F1F8166" w14:textId="66D3C830" w:rsidR="006C0238" w:rsidRPr="00240D67" w:rsidRDefault="007E1EE8" w:rsidP="0016328D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16328D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E567B8D" w14:textId="77777777" w:rsidR="00F77D39" w:rsidRDefault="00F77D39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238120EA" w14:textId="77777777" w:rsidR="00F77D39" w:rsidRDefault="00F77D39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2AE69471" w14:textId="77777777" w:rsidR="00F77D39" w:rsidRDefault="00F77D39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75030831" w14:textId="2BD87AAA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lastRenderedPageBreak/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57583DFA" w14:textId="25EC6F46" w:rsidR="006373A2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="0016328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4E92E8" w14:textId="7A758D7E" w:rsidR="006373A2" w:rsidRPr="00240D67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16328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BF3D723" w14:textId="3DCAD5EB" w:rsidR="0016328D" w:rsidRPr="0016328D" w:rsidRDefault="006373A2" w:rsidP="006373A2">
      <w:pPr>
        <w:ind w:left="540" w:hanging="36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16328D" w:rsidRPr="0016328D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https://www.arlis.am/hy/acts/218575</w:t>
        </w:r>
      </w:hyperlink>
    </w:p>
    <w:p w14:paraId="670C3CCB" w14:textId="338E7A3A" w:rsidR="006373A2" w:rsidRPr="00240D67" w:rsidRDefault="006373A2" w:rsidP="006373A2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</w:p>
    <w:p w14:paraId="275D5739" w14:textId="77777777" w:rsidR="006373A2" w:rsidRPr="00632CE0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240D67">
        <w:rPr>
          <w:rFonts w:ascii="GHEA Grapalat" w:hAnsi="GHEA Grapalat" w:cs="Calibri"/>
          <w:lang w:val="hy-AM"/>
        </w:rPr>
        <w:t xml:space="preserve"> </w:t>
      </w:r>
      <w:r w:rsidRPr="00632CE0">
        <w:rPr>
          <w:rFonts w:ascii="GHEA Grapalat" w:hAnsi="GHEA Grapalat" w:cs="Arian AMU"/>
          <w:shd w:val="clear" w:color="auto" w:fill="FFFFFF"/>
          <w:lang w:val="hy-AM"/>
        </w:rPr>
        <w:t>«Էներգետիկայի մասին» օրենք</w:t>
      </w:r>
    </w:p>
    <w:p w14:paraId="1EDA2514" w14:textId="2C14A960" w:rsidR="006373A2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  Հղումը՝</w:t>
      </w:r>
      <w:r w:rsidRPr="006C0238">
        <w:rPr>
          <w:lang w:val="hy-AM"/>
        </w:rPr>
        <w:t xml:space="preserve"> </w:t>
      </w:r>
      <w:hyperlink r:id="rId14" w:history="1">
        <w:r w:rsidR="0016328D" w:rsidRPr="0016328D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https://www.arlis.am/hy/acts/216338</w:t>
        </w:r>
      </w:hyperlink>
    </w:p>
    <w:p w14:paraId="57DED904" w14:textId="77777777" w:rsidR="0016328D" w:rsidRPr="0016328D" w:rsidRDefault="0016328D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1CD3341" w14:textId="77777777" w:rsidR="006373A2" w:rsidRDefault="006373A2" w:rsidP="006373A2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Pr="00833F7B">
        <w:rPr>
          <w:rFonts w:ascii="GHEA Grapalat" w:hAnsi="GHEA Grapalat" w:cs="Arian AMU"/>
          <w:shd w:val="clear" w:color="auto" w:fill="FFFFFF"/>
          <w:lang w:val="hy-AM"/>
        </w:rPr>
        <w:t>«էներգետիկայի բնագավառում և էներգասպառման ոլորտում պետական տեխնիկական վերահսկողության մասին» օրենք</w:t>
      </w:r>
    </w:p>
    <w:p w14:paraId="190D4BB9" w14:textId="6C91092C" w:rsidR="00855C0A" w:rsidRDefault="006373A2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Հղումը՝ </w:t>
      </w:r>
      <w:hyperlink r:id="rId15" w:history="1">
        <w:r w:rsidR="0016328D" w:rsidRPr="0016328D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https://www.arlis.am/hy/acts/158716</w:t>
        </w:r>
      </w:hyperlink>
    </w:p>
    <w:p w14:paraId="6F269E2F" w14:textId="77777777" w:rsidR="0016328D" w:rsidRPr="0016328D" w:rsidRDefault="0016328D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</w:p>
    <w:p w14:paraId="6AA17F40" w14:textId="797C0583" w:rsidR="00855C0A" w:rsidRP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855C0A">
        <w:rPr>
          <w:lang w:val="hy-AM"/>
        </w:rPr>
        <w:t xml:space="preserve">          </w:t>
      </w:r>
      <w:r w:rsidR="0016328D">
        <w:rPr>
          <w:lang w:val="hy-AM"/>
        </w:rPr>
        <w:t xml:space="preserve"> </w:t>
      </w:r>
      <w:r w:rsidRPr="00855C0A">
        <w:rPr>
          <w:lang w:val="hy-AM"/>
        </w:rPr>
        <w:t xml:space="preserve"> </w:t>
      </w: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3E47F088" w14:textId="574E7F71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="0016328D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hyperlink r:id="rId16" w:history="1">
        <w:r w:rsidRPr="005B7E6D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https://www.arlis.am/hy/acts/204205</w:t>
        </w:r>
      </w:hyperlink>
    </w:p>
    <w:p w14:paraId="605AAAE8" w14:textId="77777777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4FE1445" w14:textId="77777777" w:rsidR="006373A2" w:rsidRDefault="006373A2" w:rsidP="0082161B">
      <w:pPr>
        <w:ind w:left="810"/>
        <w:jc w:val="both"/>
        <w:outlineLvl w:val="2"/>
        <w:rPr>
          <w:rFonts w:ascii="GHEA Grapalat" w:hAnsi="GHEA Grapalat"/>
          <w:bCs/>
          <w:sz w:val="24"/>
          <w:szCs w:val="24"/>
          <w:lang w:val="hy-AM" w:eastAsia="en-US"/>
        </w:rPr>
      </w:pP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ՀՀ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կառավարության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2007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թվականի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ապրիլի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12-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«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Էներգատեղակայանքներում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տեղի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ունեցած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պատահարների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դասակարգումը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դրանց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մասնագիտական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քննության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կարգը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հաստատելու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և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Հայաստանի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Հանրապետության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կառավարության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2005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թվականի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օգոստոսի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18-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N 1530-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որոշումն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ուժը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կորցրած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ճանաչելու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մասին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>» N 580-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որոշում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</w:p>
    <w:p w14:paraId="7DFB10C2" w14:textId="01249611" w:rsidR="00721933" w:rsidRPr="0016328D" w:rsidRDefault="006373A2" w:rsidP="0016328D">
      <w:pPr>
        <w:ind w:left="720" w:firstLine="90"/>
        <w:outlineLvl w:val="2"/>
        <w:rPr>
          <w:rStyle w:val="Hyperlink"/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 w:rsidRPr="00C542A7">
        <w:rPr>
          <w:rFonts w:ascii="GHEA Grapalat" w:hAnsi="GHEA Grapalat"/>
          <w:bCs/>
          <w:sz w:val="24"/>
          <w:szCs w:val="24"/>
          <w:lang w:val="hy-AM" w:eastAsia="en-US"/>
        </w:rPr>
        <w:t>Հղումը՝</w:t>
      </w:r>
      <w:r w:rsidRPr="00C542A7">
        <w:rPr>
          <w:lang w:val="hy-AM"/>
        </w:rPr>
        <w:t xml:space="preserve"> </w:t>
      </w:r>
      <w:hyperlink r:id="rId17" w:history="1">
        <w:r w:rsidR="0016328D" w:rsidRPr="0016328D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https://www.arlis.am/hy/acts/148097</w:t>
        </w:r>
      </w:hyperlink>
    </w:p>
    <w:p w14:paraId="5DEB9368" w14:textId="77777777" w:rsidR="0016328D" w:rsidRPr="0016328D" w:rsidRDefault="0016328D" w:rsidP="0016328D">
      <w:pPr>
        <w:ind w:left="720" w:firstLine="90"/>
        <w:outlineLvl w:val="2"/>
        <w:rPr>
          <w:rFonts w:ascii="Arial" w:hAnsi="Arial" w:cs="Calibri"/>
          <w:lang w:val="hy-AM"/>
        </w:rPr>
      </w:pPr>
    </w:p>
    <w:p w14:paraId="3864E449" w14:textId="77777777" w:rsidR="005E6370" w:rsidRPr="00240D67" w:rsidRDefault="005E6370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77777777" w:rsidR="005E6370" w:rsidRPr="00240D67" w:rsidRDefault="005E6370" w:rsidP="005E637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3ACBF91C" w:rsidR="00C56F35" w:rsidRPr="005E1158" w:rsidRDefault="006C0238" w:rsidP="00C97CEA">
      <w:pPr>
        <w:ind w:left="72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F06493">
      <w:pgSz w:w="12240" w:h="15840"/>
      <w:pgMar w:top="90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14BC1" w14:textId="77777777" w:rsidR="004D6063" w:rsidRDefault="004D6063" w:rsidP="00C47A7F">
      <w:r>
        <w:separator/>
      </w:r>
    </w:p>
  </w:endnote>
  <w:endnote w:type="continuationSeparator" w:id="0">
    <w:p w14:paraId="5FAF8274" w14:textId="77777777" w:rsidR="004D6063" w:rsidRDefault="004D6063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6B8AB" w14:textId="77777777" w:rsidR="004D6063" w:rsidRDefault="004D6063" w:rsidP="00C47A7F">
      <w:r>
        <w:separator/>
      </w:r>
    </w:p>
  </w:footnote>
  <w:footnote w:type="continuationSeparator" w:id="0">
    <w:p w14:paraId="2E5EE125" w14:textId="77777777" w:rsidR="004D6063" w:rsidRDefault="004D6063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A0DDC"/>
    <w:rsid w:val="000A4E64"/>
    <w:rsid w:val="000B0DC7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328D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2EBB"/>
    <w:rsid w:val="0024359E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33BB"/>
    <w:rsid w:val="00461597"/>
    <w:rsid w:val="00462364"/>
    <w:rsid w:val="004624A6"/>
    <w:rsid w:val="00464B02"/>
    <w:rsid w:val="00470C54"/>
    <w:rsid w:val="0047454D"/>
    <w:rsid w:val="00493B0C"/>
    <w:rsid w:val="004A4EEF"/>
    <w:rsid w:val="004A60D3"/>
    <w:rsid w:val="004B1006"/>
    <w:rsid w:val="004D6063"/>
    <w:rsid w:val="004F3F3E"/>
    <w:rsid w:val="00501F1A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E1158"/>
    <w:rsid w:val="005E6370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5059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567F0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4033"/>
    <w:rsid w:val="00C47A7F"/>
    <w:rsid w:val="00C509D8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943FB"/>
    <w:rsid w:val="00D94502"/>
    <w:rsid w:val="00D952C8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872A6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7D39"/>
    <w:rsid w:val="00F961F0"/>
    <w:rsid w:val="00FA14CB"/>
    <w:rsid w:val="00FA60CC"/>
    <w:rsid w:val="00FA7102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0A0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&#1354;&#1329;_&#1333;&#1408;&#1415;&#1377;&#1398;_&#1335;&#1398;&#1381;&#1408;&#1379;&#1381;&#1407;&#1387;&#1407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480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158716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1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https://mul2.gov.am/tasks/1293516/oneclick?token=f22547973a3e181167f6a635cfe4de1c</cp:keywords>
  <dc:description/>
  <cp:lastModifiedBy>Пользователь</cp:lastModifiedBy>
  <cp:revision>235</cp:revision>
  <cp:lastPrinted>2024-04-09T13:32:00Z</cp:lastPrinted>
  <dcterms:created xsi:type="dcterms:W3CDTF">2020-06-06T12:47:00Z</dcterms:created>
  <dcterms:modified xsi:type="dcterms:W3CDTF">2026-03-11T06:41:00Z</dcterms:modified>
</cp:coreProperties>
</file>