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9EDA9AB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Ար</w:t>
      </w:r>
      <w:r w:rsidR="0087521A">
        <w:rPr>
          <w:rFonts w:ascii="GHEA Grapalat" w:hAnsi="GHEA Grapalat"/>
          <w:sz w:val="24"/>
          <w:szCs w:val="24"/>
          <w:lang w:val="hy-AM" w:eastAsia="hy-AM"/>
        </w:rPr>
        <w:t xml:space="preserve">մավիրի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դ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7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87521A" w:rsidRPr="0087521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87521A" w:rsidRPr="0087521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7521A" w:rsidRPr="0087521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35B7105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Ար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մավիրի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 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դ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87521A">
        <w:rPr>
          <w:rFonts w:ascii="GHEA Grapalat" w:hAnsi="GHEA Grapalat"/>
          <w:sz w:val="24"/>
          <w:szCs w:val="24"/>
          <w:lang w:val="hy-AM" w:eastAsia="hy-AM"/>
        </w:rPr>
        <w:t>7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D1EBC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E38D96B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09594A" w:rsidRPr="0009594A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7521A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09594A">
        <w:rPr>
          <w:rFonts w:ascii="GHEA Grapalat" w:eastAsia="Sylfaen" w:hAnsi="GHEA Grapalat" w:cs="Sylfaen"/>
          <w:sz w:val="24"/>
          <w:szCs w:val="24"/>
          <w:lang w:val="hy-AM"/>
        </w:rPr>
        <w:t>ւնվարի 4</w:t>
      </w:r>
      <w:r w:rsidR="002C77C1">
        <w:rPr>
          <w:rFonts w:ascii="GHEA Grapalat" w:eastAsia="Sylfaen" w:hAnsi="GHEA Grapalat" w:cs="Sylfaen"/>
          <w:sz w:val="24"/>
          <w:szCs w:val="24"/>
          <w:lang w:val="hy-AM"/>
        </w:rPr>
        <w:t>-ից հունվարի 11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80C433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2C77C1">
        <w:rPr>
          <w:rFonts w:ascii="GHEA Grapalat" w:hAnsi="GHEA Grapalat"/>
          <w:sz w:val="24"/>
          <w:szCs w:val="24"/>
          <w:lang w:val="hy-AM" w:eastAsia="hy-AM"/>
        </w:rPr>
        <w:t>3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C77C1">
        <w:rPr>
          <w:rFonts w:ascii="GHEA Grapalat" w:hAnsi="GHEA Grapalat"/>
          <w:sz w:val="24"/>
          <w:szCs w:val="24"/>
          <w:lang w:val="hy-AM" w:eastAsia="hy-AM"/>
        </w:rPr>
        <w:t>փետրվարի 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D410AA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2C77C1">
        <w:rPr>
          <w:rFonts w:ascii="GHEA Grapalat" w:hAnsi="GHEA Grapalat"/>
          <w:sz w:val="24"/>
          <w:szCs w:val="24"/>
          <w:lang w:val="hy-AM" w:eastAsia="hy-AM"/>
        </w:rPr>
        <w:t>0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57066A34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</w:t>
      </w:r>
      <w:r w:rsidR="002C77C1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C77C1">
        <w:rPr>
          <w:rFonts w:ascii="GHEA Grapalat" w:hAnsi="GHEA Grapalat"/>
          <w:sz w:val="24"/>
          <w:szCs w:val="24"/>
          <w:lang w:val="hy-AM" w:eastAsia="hy-AM"/>
        </w:rPr>
        <w:t>փետրվարի 8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D410AA"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077A0AC" w14:textId="3D717A34" w:rsidR="002C77C1" w:rsidRPr="00421B4E" w:rsidRDefault="002C77C1" w:rsidP="002C77C1">
      <w:pPr>
        <w:pStyle w:val="BodyText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CD7410"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Pr="00421B4E">
        <w:rPr>
          <w:rFonts w:ascii="GHEA Grapalat" w:hAnsi="GHEA Grapalat" w:cs="Sylfaen"/>
          <w:sz w:val="24"/>
          <w:szCs w:val="24"/>
          <w:lang w:val="hy-AM"/>
        </w:rPr>
        <w:t>267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072 (երկու հարյուր վաթսունյոթ հազար յոթանասուներկու) </w:t>
      </w:r>
    </w:p>
    <w:p w14:paraId="123BC454" w14:textId="6B9A107E" w:rsidR="00CD7410" w:rsidRPr="00774B7C" w:rsidRDefault="00CD7410" w:rsidP="002C77C1">
      <w:pPr>
        <w:shd w:val="clear" w:color="auto" w:fill="FFFFFF"/>
        <w:spacing w:line="276" w:lineRule="auto"/>
        <w:ind w:left="90"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>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0E698400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2C77C1" w:rsidRPr="002C77C1">
        <w:rPr>
          <w:rFonts w:ascii="GHEA Grapalat" w:hAnsi="GHEA Grapalat"/>
          <w:sz w:val="24"/>
          <w:szCs w:val="24"/>
          <w:lang w:val="hy-AM"/>
        </w:rPr>
        <w:t>2, 6, 25, 27, 40, 44, 46, 48, 57, 64, 66, 73, 88, 89, 90, 93, 103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871810">
        <w:rPr>
          <w:rStyle w:val="Hyperlink"/>
          <w:lang w:val="hy-AM"/>
        </w:rPr>
        <w:t>https://www.arlis.am/DocumentView.aspx?DocID=143723</w:t>
      </w:r>
    </w:p>
    <w:p w14:paraId="08B6480C" w14:textId="77777777" w:rsidR="00F30915" w:rsidRDefault="00F30915" w:rsidP="008C05EE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5CD420A0" w14:textId="6381E18A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263CBB3" w14:textId="632815C9" w:rsidR="002C77C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060A5D" w:rsidRPr="00060A5D">
        <w:rPr>
          <w:rFonts w:ascii="GHEA Grapalat" w:hAnsi="GHEA Grapalat" w:cs="Calibri"/>
          <w:lang w:val="hy-AM"/>
        </w:rPr>
        <w:t>4, 6, 9, 14, 22, 29, 31, 33, 52, 53</w:t>
      </w:r>
    </w:p>
    <w:p w14:paraId="4F47E2ED" w14:textId="5169C97E" w:rsidR="008C05EE" w:rsidRPr="007D1EBC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71810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1CEC0AF" w14:textId="13D8B2AA" w:rsidR="002C77C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2C77C1" w:rsidRPr="002C77C1">
        <w:rPr>
          <w:rFonts w:ascii="GHEA Grapalat" w:hAnsi="GHEA Grapalat" w:cs="Calibri"/>
          <w:lang w:val="hy-AM"/>
        </w:rPr>
        <w:t>6, 10, 12, 17, 18, 19, 21, 22, 23, 24,  27, 38</w:t>
      </w:r>
    </w:p>
    <w:p w14:paraId="7C35E9CB" w14:textId="79743FB8" w:rsidR="008C05EE" w:rsidRPr="002C77C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2C77C1" w:rsidRPr="00871810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https://www.arlis.am/DocumentView.aspx?docid=171979</w:t>
        </w:r>
      </w:hyperlink>
    </w:p>
    <w:p w14:paraId="58CE8035" w14:textId="77777777" w:rsidR="002C77C1" w:rsidRPr="002C77C1" w:rsidRDefault="002C77C1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3A2F1EAB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2C77C1" w:rsidRPr="002C77C1">
        <w:rPr>
          <w:rFonts w:ascii="GHEA Grapalat" w:hAnsi="GHEA Grapalat" w:cs="Calibri"/>
          <w:lang w:val="hy-AM"/>
        </w:rPr>
        <w:t>2, 2.1, 3, 4, 5, 6, 8, 10, 12</w:t>
      </w:r>
    </w:p>
    <w:p w14:paraId="1F6C383F" w14:textId="7F034111" w:rsidR="008C05EE" w:rsidRDefault="008C05EE" w:rsidP="008C05E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="002C77C1" w:rsidRPr="001937BB">
          <w:rPr>
            <w:rStyle w:val="Hyperlink"/>
            <w:lang w:val="hy-AM"/>
          </w:rPr>
          <w:t>https://www.arlis.am/DocumentView.aspx?docid=170571</w:t>
        </w:r>
      </w:hyperlink>
    </w:p>
    <w:p w14:paraId="6E8FAE1B" w14:textId="01DEB89D" w:rsidR="002C77C1" w:rsidRPr="002C77C1" w:rsidRDefault="002C77C1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7319E4DB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871810" w:rsidRPr="00871810">
        <w:rPr>
          <w:rFonts w:ascii="GHEA Grapalat" w:hAnsi="GHEA Grapalat" w:cs="Calibri"/>
          <w:lang w:val="hy-AM"/>
        </w:rPr>
        <w:t>12, 21, 23, 33, 37, 225, 254, 277, 282, 283</w:t>
      </w:r>
    </w:p>
    <w:p w14:paraId="76A76128" w14:textId="7E4A4E88" w:rsidR="00D410AA" w:rsidRPr="0087181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871810" w:rsidRPr="00871810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https://www.arlis.am/DocumentView.aspx?docid=172362</w:t>
        </w:r>
      </w:hyperlink>
    </w:p>
    <w:p w14:paraId="17CE74BF" w14:textId="77777777" w:rsidR="00871810" w:rsidRPr="00871810" w:rsidRDefault="00871810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2A9CBE22" w14:textId="5A36DF17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06194CCD" w14:textId="13A406FA" w:rsidR="009E1C13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AC68A2" w14:textId="77777777" w:rsidR="009E1C13" w:rsidRPr="008C05EE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6AF97BE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 xml:space="preserve">Հոդվածներ՝  </w:t>
      </w:r>
      <w:r w:rsidR="00871810" w:rsidRPr="0087181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4E3CD1DD" w14:textId="0D2A7B28" w:rsidR="005F64CC" w:rsidRPr="00871810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871810" w:rsidRPr="00871810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https://www.arlis.am/DocumentView.aspx?docid=165294</w:t>
        </w:r>
      </w:hyperlink>
    </w:p>
    <w:p w14:paraId="56AE86E0" w14:textId="750BFE93" w:rsidR="00871810" w:rsidRPr="00871810" w:rsidRDefault="00871810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28B0BF86" w14:textId="77777777" w:rsidR="00871810" w:rsidRPr="007D1EBC" w:rsidRDefault="00D95397" w:rsidP="00871810">
      <w:pPr>
        <w:tabs>
          <w:tab w:val="left" w:pos="270"/>
        </w:tabs>
        <w:ind w:left="27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r w:rsidR="00871810" w:rsidRPr="00871810">
        <w:rPr>
          <w:rStyle w:val="Hyperlink"/>
          <w:lang w:val="hy-AM"/>
        </w:rPr>
        <w:t>https://www.arlis.am/documentview.aspx?docid=171789</w:t>
      </w:r>
      <w:r w:rsidR="00871810" w:rsidRPr="000D1A8A">
        <w:rPr>
          <w:rStyle w:val="Hyperlink"/>
          <w:lang w:val="hy-AM"/>
        </w:rPr>
        <w:t xml:space="preserve"> </w:t>
      </w:r>
    </w:p>
    <w:p w14:paraId="451847D5" w14:textId="77777777" w:rsidR="00871810" w:rsidRDefault="00871810" w:rsidP="00871810">
      <w:pPr>
        <w:tabs>
          <w:tab w:val="left" w:pos="270"/>
        </w:tabs>
        <w:ind w:left="270"/>
        <w:jc w:val="both"/>
        <w:rPr>
          <w:rFonts w:ascii="Arial" w:hAnsi="Arial"/>
          <w:lang w:val="hy-AM"/>
        </w:rPr>
      </w:pPr>
    </w:p>
    <w:p w14:paraId="331EF813" w14:textId="1FB02F6E" w:rsidR="00D95397" w:rsidRPr="00871810" w:rsidRDefault="00D95397" w:rsidP="00871810">
      <w:pPr>
        <w:tabs>
          <w:tab w:val="left" w:pos="270"/>
        </w:tabs>
        <w:ind w:left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871810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7DDA2D74" w14:textId="6E5C08F3" w:rsidR="008C05EE" w:rsidRPr="000D1A8A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871810" w:rsidRPr="000D1A8A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https://www.arlis.am/DocumentView.aspx?docid=171909</w:t>
        </w:r>
      </w:hyperlink>
    </w:p>
    <w:p w14:paraId="736598D0" w14:textId="77777777" w:rsidR="00871810" w:rsidRPr="00871810" w:rsidRDefault="0087181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Pr="000D1A8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0D1A8A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1C0221AA" w14:textId="2AF04BA6" w:rsidR="009B717F" w:rsidRPr="00EC13E1" w:rsidRDefault="009B717F" w:rsidP="009B717F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57357DCF" w14:textId="77777777" w:rsidR="0025590A" w:rsidRPr="0025590A" w:rsidRDefault="009B717F" w:rsidP="009B717F">
      <w:pPr>
        <w:pStyle w:val="NormalWeb"/>
        <w:shd w:val="clear" w:color="auto" w:fill="FFFFFF"/>
        <w:spacing w:before="0" w:beforeAutospacing="0" w:after="0" w:afterAutospacing="0"/>
        <w:ind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25590A"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512C9729" w14:textId="2A5698ED" w:rsidR="009B717F" w:rsidRPr="000D1A8A" w:rsidRDefault="009B717F" w:rsidP="009B717F">
      <w:pPr>
        <w:pStyle w:val="NormalWeb"/>
        <w:shd w:val="clear" w:color="auto" w:fill="FFFFFF"/>
        <w:spacing w:before="0" w:beforeAutospacing="0" w:after="0" w:afterAutospacing="0"/>
        <w:ind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0D1A8A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http://ijevanlib.ysu.am/wp-content/uploads/2017/12/gravor-khosq.pdf</w:t>
        </w:r>
      </w:hyperlink>
    </w:p>
    <w:p w14:paraId="36AFCECB" w14:textId="77777777" w:rsidR="009B717F" w:rsidRPr="00EC13E1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19D25DA" w14:textId="77777777" w:rsidR="009B717F" w:rsidRPr="00EC13E1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54C1E972" w14:textId="77777777" w:rsidR="009B717F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2E259EAB" w14:textId="77777777" w:rsidR="009B717F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7444E14E" w14:textId="77777777" w:rsidR="009B717F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11846FB7" w14:textId="77777777" w:rsidR="009B717F" w:rsidRPr="000D1A8A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0D1A8A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http://fliphtml5.com/fumf/egdx</w:t>
        </w:r>
      </w:hyperlink>
    </w:p>
    <w:p w14:paraId="20BE750E" w14:textId="77777777" w:rsidR="009B717F" w:rsidRPr="00EC13E1" w:rsidRDefault="009B717F" w:rsidP="009B71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59D6F0E" w14:textId="023F496E" w:rsidR="009B717F" w:rsidRDefault="009B717F" w:rsidP="009B717F">
      <w:pPr>
        <w:tabs>
          <w:tab w:val="left" w:pos="180"/>
        </w:tabs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43BA452D" w14:textId="3CD0D955" w:rsidR="009B717F" w:rsidRPr="00EC13E1" w:rsidRDefault="009B717F" w:rsidP="009B717F">
      <w:pPr>
        <w:tabs>
          <w:tab w:val="left" w:pos="180"/>
        </w:tabs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5BFCA810" w14:textId="4AA88A15" w:rsidR="009B717F" w:rsidRPr="000D1A8A" w:rsidRDefault="009B717F" w:rsidP="009B717F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276" w:lineRule="auto"/>
        <w:ind w:left="180" w:hanging="36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</w:t>
      </w:r>
      <w:r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0D1A8A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478C1156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9B717F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07423D15" w:rsidR="00D95397" w:rsidRPr="00EC13E1" w:rsidRDefault="00D95397" w:rsidP="00F30915">
      <w:pPr>
        <w:spacing w:line="276" w:lineRule="auto"/>
        <w:ind w:left="-90" w:firstLine="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F309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334C0AAC" w:rsidR="00D95397" w:rsidRPr="000D1A8A" w:rsidRDefault="00D95397" w:rsidP="00F30915">
      <w:pPr>
        <w:spacing w:line="276" w:lineRule="auto"/>
        <w:ind w:left="-90" w:firstLine="90"/>
        <w:rPr>
          <w:rStyle w:val="Hyperlink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9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0D1A8A">
          <w:rPr>
            <w:rStyle w:val="Hyperlink"/>
            <w:lang w:val="hy-AM"/>
          </w:rPr>
          <w:t>https://www.gov.am/u_files/file/Haytararutyunner/4.pdf</w:t>
        </w:r>
      </w:hyperlink>
    </w:p>
    <w:p w14:paraId="0307603E" w14:textId="677DF2B1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28A1678A" w:rsidR="00D95397" w:rsidRPr="000D1A8A" w:rsidRDefault="00D95397" w:rsidP="00D95397">
      <w:pPr>
        <w:spacing w:line="276" w:lineRule="auto"/>
        <w:rPr>
          <w:rStyle w:val="Hyperlink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09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0D1A8A">
          <w:rPr>
            <w:rStyle w:val="Hyperlink"/>
            <w:lang w:val="hy-AM"/>
          </w:rPr>
          <w:t>https://www.gov.am/u_files/file/Haytararutyunner/6.pdf</w:t>
        </w:r>
      </w:hyperlink>
    </w:p>
    <w:p w14:paraId="294B8D76" w14:textId="5920ACC6" w:rsidR="00D95397" w:rsidRPr="000D1A8A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/>
          <w:lang w:val="hy-AM" w:eastAsia="ru-RU"/>
        </w:rPr>
        <w:lastRenderedPageBreak/>
        <w:t xml:space="preserve">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0D1A8A">
          <w:rPr>
            <w:rStyle w:val="Hyperlink"/>
            <w:rFonts w:ascii="Arial Armenian" w:hAnsi="Arial Armenian"/>
            <w:sz w:val="20"/>
            <w:szCs w:val="20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202698FE" w:rsidR="00C43294" w:rsidRPr="00774B7C" w:rsidRDefault="00F30915" w:rsidP="00F30915">
      <w:pPr>
        <w:spacing w:line="276" w:lineRule="auto"/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43294"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4926F3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9E1C13"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1605" w14:textId="77777777" w:rsidR="004926F3" w:rsidRDefault="004926F3" w:rsidP="00C47A7F">
      <w:r>
        <w:separator/>
      </w:r>
    </w:p>
  </w:endnote>
  <w:endnote w:type="continuationSeparator" w:id="0">
    <w:p w14:paraId="394DF2A6" w14:textId="77777777" w:rsidR="004926F3" w:rsidRDefault="004926F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C3EC3" w14:textId="77777777" w:rsidR="004926F3" w:rsidRDefault="004926F3" w:rsidP="00C47A7F">
      <w:r>
        <w:separator/>
      </w:r>
    </w:p>
  </w:footnote>
  <w:footnote w:type="continuationSeparator" w:id="0">
    <w:p w14:paraId="1F85E919" w14:textId="77777777" w:rsidR="004926F3" w:rsidRDefault="004926F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6561"/>
    <w:rsid w:val="0001595E"/>
    <w:rsid w:val="00025179"/>
    <w:rsid w:val="00027891"/>
    <w:rsid w:val="00030041"/>
    <w:rsid w:val="00060A5D"/>
    <w:rsid w:val="00073B85"/>
    <w:rsid w:val="00084255"/>
    <w:rsid w:val="0009594A"/>
    <w:rsid w:val="000A4E64"/>
    <w:rsid w:val="000B4D73"/>
    <w:rsid w:val="000D1A8A"/>
    <w:rsid w:val="000E3F26"/>
    <w:rsid w:val="000F7BAE"/>
    <w:rsid w:val="001033CF"/>
    <w:rsid w:val="00106FE2"/>
    <w:rsid w:val="00117A2D"/>
    <w:rsid w:val="00124176"/>
    <w:rsid w:val="00145520"/>
    <w:rsid w:val="001455E2"/>
    <w:rsid w:val="001619D9"/>
    <w:rsid w:val="0017156E"/>
    <w:rsid w:val="001A0D51"/>
    <w:rsid w:val="001A17C0"/>
    <w:rsid w:val="001B2F31"/>
    <w:rsid w:val="001B69C1"/>
    <w:rsid w:val="001D260C"/>
    <w:rsid w:val="001E43DF"/>
    <w:rsid w:val="001E712E"/>
    <w:rsid w:val="001F36F2"/>
    <w:rsid w:val="0021283C"/>
    <w:rsid w:val="00234E91"/>
    <w:rsid w:val="0025590A"/>
    <w:rsid w:val="002C11AC"/>
    <w:rsid w:val="002C77C1"/>
    <w:rsid w:val="002D2AA2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26F3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87EBD"/>
    <w:rsid w:val="00795DBA"/>
    <w:rsid w:val="00796232"/>
    <w:rsid w:val="007A7E59"/>
    <w:rsid w:val="007D1EBC"/>
    <w:rsid w:val="007E21C0"/>
    <w:rsid w:val="00805F6C"/>
    <w:rsid w:val="0082263A"/>
    <w:rsid w:val="00842B6D"/>
    <w:rsid w:val="0084516D"/>
    <w:rsid w:val="00850318"/>
    <w:rsid w:val="00871810"/>
    <w:rsid w:val="00873E94"/>
    <w:rsid w:val="0087521A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B717F"/>
    <w:rsid w:val="009D4A42"/>
    <w:rsid w:val="009E1C13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10AA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0915"/>
    <w:rsid w:val="00F33939"/>
    <w:rsid w:val="00F41239"/>
    <w:rsid w:val="00F45C84"/>
    <w:rsid w:val="00F72D9B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2C77C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C77C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prelive.utfsib.am/site/uploads/files/2023-&#1392;&#1377;&#1397;&#1407;&#1377;&#1408;&#1377;&#1408;&#1400;&#1410;&#1385;&#1397;&#1400;&#1410;&#1398;&#1398;&#1381;&#1408;/71-28.2.&#1380;-&#1348;2-7.docx" TargetMode="External"/><Relationship Id="rId12" Type="http://schemas.openxmlformats.org/officeDocument/2006/relationships/hyperlink" Target="https://www.arlis.am/DocumentView.aspx?docid=172362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1979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71909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158</cp:revision>
  <cp:lastPrinted>2021-03-16T05:33:00Z</cp:lastPrinted>
  <dcterms:created xsi:type="dcterms:W3CDTF">2020-06-06T12:47:00Z</dcterms:created>
  <dcterms:modified xsi:type="dcterms:W3CDTF">2023-01-04T06:53:00Z</dcterms:modified>
</cp:coreProperties>
</file>