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75" w:rsidRPr="00812FFB" w:rsidRDefault="00EC6E75" w:rsidP="00553FFF">
      <w:pPr>
        <w:spacing w:after="0" w:line="276" w:lineRule="auto"/>
        <w:rPr>
          <w:rFonts w:ascii="GHEA Grapalat" w:hAnsi="GHEA Grapalat" w:cs="Arial"/>
          <w:b/>
          <w:sz w:val="24"/>
          <w:szCs w:val="24"/>
          <w:lang w:val="hy-AM"/>
        </w:rPr>
      </w:pPr>
    </w:p>
    <w:p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rsidR="00682E75" w:rsidRPr="00812FFB" w:rsidRDefault="00682E75" w:rsidP="00553FFF">
      <w:pPr>
        <w:spacing w:after="0"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 xml:space="preserve">ՀՀ ՔԱՂԱՔԱՇԻՆՈՒԹՅԱՆ, ՏԵԽՆԻԿԱԿԱՆ ԵՎ ՀՐԴԵՀԱՅԻՆ ԱՆՎՏԱՆԳՈՒԹՅԱՆ ՏԵՍՉԱԿԱՆ ՄԱՐՄՆԻ </w:t>
      </w:r>
      <w:r w:rsidR="00102EA5" w:rsidRPr="00812FFB">
        <w:rPr>
          <w:rFonts w:ascii="GHEA Grapalat" w:hAnsi="GHEA Grapalat"/>
          <w:b/>
          <w:bCs/>
          <w:sz w:val="24"/>
          <w:szCs w:val="24"/>
          <w:lang w:val="hy-AM" w:eastAsia="ru-RU"/>
        </w:rPr>
        <w:t xml:space="preserve">ԷՆԵՐԳԵՏԻԿԱՅԻ ԵՎ ԷՆԵՐԳԱՍՊԱՌՄԱՆ ՎԵՐԱՀՍԿՈՂՈՒԹՅԱՆ ՎԱՐՉՈՒԹՅԱՆ </w:t>
      </w:r>
      <w:r w:rsidRPr="00812FFB">
        <w:rPr>
          <w:rFonts w:ascii="GHEA Grapalat" w:hAnsi="GHEA Grapalat"/>
          <w:b/>
          <w:bCs/>
          <w:sz w:val="24"/>
          <w:szCs w:val="24"/>
          <w:lang w:val="hy-AM" w:eastAsia="ru-RU"/>
        </w:rPr>
        <w:t>ՓՈՐՁԱԳԵՏԻ</w:t>
      </w:r>
    </w:p>
    <w:p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rsidR="00682E75" w:rsidRPr="00812FFB" w:rsidRDefault="00821D9B"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hyperlink r:id="rId6" w:history="1">
        <w:r w:rsidR="00553FFF" w:rsidRPr="00821D9B">
          <w:rPr>
            <w:rStyle w:val="Hyperlink"/>
            <w:rFonts w:ascii="GHEA Grapalat" w:eastAsiaTheme="minorHAnsi" w:hAnsi="GHEA Grapalat" w:cstheme="minorBidi"/>
            <w:b/>
            <w:bCs/>
            <w:lang w:val="hy-AM"/>
          </w:rPr>
          <w:t xml:space="preserve">  </w:t>
        </w:r>
        <w:r w:rsidR="00682E75" w:rsidRPr="00821D9B">
          <w:rPr>
            <w:rStyle w:val="Hyperlink"/>
            <w:rFonts w:ascii="GHEA Grapalat" w:eastAsiaTheme="minorHAnsi" w:hAnsi="GHEA Grapalat" w:cstheme="minorBidi"/>
            <w:b/>
            <w:bCs/>
            <w:lang w:val="hy-AM"/>
          </w:rPr>
          <w:t>Ծրագրով նախատեսված աշխատանքների համառոտ նկարագիրը.</w:t>
        </w:r>
        <w:r w:rsidR="00682E75" w:rsidRPr="00821D9B">
          <w:rPr>
            <w:rStyle w:val="Hyperlink"/>
            <w:rFonts w:ascii="GHEA Grapalat" w:eastAsiaTheme="minorHAnsi" w:hAnsi="GHEA Grapalat" w:cstheme="minorBidi"/>
            <w:lang w:val="hy-AM"/>
          </w:rPr>
          <w:t xml:space="preserve">         </w:t>
        </w:r>
      </w:hyperlink>
      <w:bookmarkStart w:id="0" w:name="_GoBack"/>
      <w:bookmarkEnd w:id="0"/>
      <w:r w:rsidR="00682E75" w:rsidRPr="00812FFB">
        <w:rPr>
          <w:rFonts w:ascii="GHEA Grapalat" w:eastAsiaTheme="minorHAnsi" w:hAnsi="GHEA Grapalat" w:cstheme="minorBidi"/>
          <w:lang w:val="hy-AM"/>
        </w:rPr>
        <w:t xml:space="preserve"> </w:t>
      </w:r>
    </w:p>
    <w:p w:rsidR="00C93726" w:rsidRPr="00812FFB" w:rsidRDefault="00C93726" w:rsidP="00553FFF">
      <w:pPr>
        <w:spacing w:after="0" w:line="276" w:lineRule="auto"/>
        <w:jc w:val="center"/>
        <w:rPr>
          <w:rFonts w:ascii="GHEA Grapalat" w:hAnsi="GHEA Grapalat" w:cs="Arial"/>
          <w:b/>
          <w:sz w:val="24"/>
          <w:szCs w:val="24"/>
          <w:lang w:val="hy-AM"/>
        </w:rPr>
      </w:pPr>
    </w:p>
    <w:p w:rsidR="00812FFB" w:rsidRPr="00812FFB" w:rsidRDefault="00553FFF" w:rsidP="00812FFB">
      <w:pPr>
        <w:spacing w:after="0" w:line="276" w:lineRule="auto"/>
        <w:ind w:firstLine="450"/>
        <w:jc w:val="both"/>
        <w:rPr>
          <w:rFonts w:ascii="GHEA Grapalat" w:hAnsi="GHEA Grapalat"/>
          <w:sz w:val="24"/>
          <w:szCs w:val="24"/>
          <w:shd w:val="clear" w:color="auto" w:fill="FFFFFF"/>
          <w:lang w:val="hy-AM"/>
        </w:rPr>
      </w:pPr>
      <w:r w:rsidRPr="00812FFB">
        <w:rPr>
          <w:rFonts w:ascii="GHEA Grapalat" w:hAnsi="GHEA Grapalat"/>
          <w:sz w:val="24"/>
          <w:szCs w:val="24"/>
          <w:shd w:val="clear" w:color="auto" w:fill="FFFFFF"/>
          <w:lang w:val="hy-AM"/>
        </w:rPr>
        <w:t>1</w:t>
      </w:r>
      <w:r w:rsidR="00102EA5" w:rsidRPr="00812FFB">
        <w:rPr>
          <w:rFonts w:ascii="MS Gothic" w:eastAsia="MS Gothic" w:hAnsi="MS Gothic" w:cs="MS Gothic" w:hint="eastAsia"/>
          <w:sz w:val="24"/>
          <w:szCs w:val="24"/>
          <w:shd w:val="clear" w:color="auto" w:fill="FFFFFF"/>
          <w:lang w:val="hy-AM"/>
        </w:rPr>
        <w:t>․</w:t>
      </w:r>
      <w:r w:rsidR="00102EA5" w:rsidRPr="00812FFB">
        <w:rPr>
          <w:rFonts w:ascii="GHEA Grapalat" w:hAnsi="GHEA Grapalat"/>
          <w:sz w:val="24"/>
          <w:szCs w:val="24"/>
          <w:shd w:val="clear" w:color="auto" w:fill="FFFFFF"/>
          <w:lang w:val="hy-AM"/>
        </w:rPr>
        <w:t xml:space="preserve"> </w:t>
      </w:r>
      <w:r w:rsidR="00812FFB" w:rsidRPr="00812FFB">
        <w:rPr>
          <w:rFonts w:ascii="GHEA Grapalat" w:hAnsi="GHEA Grapalat"/>
          <w:sz w:val="24"/>
          <w:szCs w:val="24"/>
          <w:shd w:val="clear" w:color="auto" w:fill="FFFFFF"/>
          <w:lang w:val="hy-AM"/>
        </w:rPr>
        <w:t>իրականացնում է էներգետիկայի բնագավառում գործունեություն իրականացնող անձանց և սպառողների՝ էներգատեղակայանքներում գործունեության նկատմամբ տեխնիկական ստուգումներ՝ էլեկտրաէներգետիկական համակարգում՝ 110 կՎ և բարձր լարման, գազամատակարարման համակարգում՝ գազի միջին և բարձր ճնշման էներգատեղակայանքներում` համակարգերի հուսալիության և անվտանգության չափանիշների պահպանման նպատակով</w:t>
      </w:r>
      <w:r w:rsidR="00812FFB" w:rsidRPr="00812FFB">
        <w:rPr>
          <w:rFonts w:ascii="Cambria Math" w:hAnsi="Cambria Math" w:cs="Cambria Math"/>
          <w:sz w:val="24"/>
          <w:szCs w:val="24"/>
          <w:shd w:val="clear" w:color="auto" w:fill="FFFFFF"/>
          <w:lang w:val="hy-AM"/>
        </w:rPr>
        <w:t>․</w:t>
      </w:r>
      <w:r w:rsidR="00812FFB" w:rsidRPr="00812FFB">
        <w:rPr>
          <w:rFonts w:ascii="GHEA Grapalat" w:hAnsi="GHEA Grapalat"/>
          <w:sz w:val="24"/>
          <w:szCs w:val="24"/>
          <w:shd w:val="clear" w:color="auto" w:fill="FFFFFF"/>
          <w:lang w:val="hy-AM"/>
        </w:rPr>
        <w:t xml:space="preserve"> </w:t>
      </w:r>
    </w:p>
    <w:p w:rsidR="00812FFB" w:rsidRPr="00812FFB" w:rsidRDefault="00812FFB" w:rsidP="00812FFB">
      <w:pPr>
        <w:spacing w:after="0" w:line="276" w:lineRule="auto"/>
        <w:ind w:firstLine="450"/>
        <w:jc w:val="both"/>
        <w:rPr>
          <w:rFonts w:ascii="GHEA Grapalat" w:hAnsi="GHEA Grapalat"/>
          <w:sz w:val="24"/>
          <w:szCs w:val="24"/>
          <w:shd w:val="clear" w:color="auto" w:fill="FFFFFF"/>
          <w:lang w:val="hy-AM"/>
        </w:rPr>
      </w:pPr>
      <w:r w:rsidRPr="00812FFB">
        <w:rPr>
          <w:rFonts w:ascii="GHEA Grapalat" w:hAnsi="GHEA Grapalat"/>
          <w:sz w:val="24"/>
          <w:szCs w:val="24"/>
          <w:shd w:val="clear" w:color="auto" w:fill="FFFFFF"/>
          <w:lang w:val="hy-AM"/>
        </w:rPr>
        <w:t>2</w:t>
      </w:r>
      <w:r w:rsidRPr="00812FFB">
        <w:rPr>
          <w:rFonts w:ascii="Cambria Math" w:hAnsi="Cambria Math" w:cs="Cambria Math"/>
          <w:sz w:val="24"/>
          <w:szCs w:val="24"/>
          <w:shd w:val="clear" w:color="auto" w:fill="FFFFFF"/>
          <w:lang w:val="hy-AM"/>
        </w:rPr>
        <w:t>․</w:t>
      </w:r>
      <w:r w:rsidRPr="00812FFB">
        <w:rPr>
          <w:rFonts w:ascii="GHEA Grapalat" w:hAnsi="GHEA Grapalat"/>
          <w:sz w:val="24"/>
          <w:szCs w:val="24"/>
          <w:shd w:val="clear" w:color="auto" w:fill="FFFFFF"/>
          <w:lang w:val="hy-AM"/>
        </w:rPr>
        <w:t>իրականացնում է մինչև 110 կՎ լարման էլեկտրաէներգետիկական, 5.8 ՄՎտ-ից բարձր դրվածքային հզորության ջերմամատակարարման և ցածր ճնշման գազի համակարգերում էներգետիկայի բնագավառում գործունեություն իրականացնող տնտեսավարողների նկատմամբ վերահսկողական աշխատանքներ՝ «Էներգետիկայի բնագավառում և էներգասպառման ոլորտում պետական տեխնիկական վերահսկողության մասին» Հայաստանի Հանրապետության օրենքով սահմանված պահանջների պահպանման նպատակով, ինչպես նաև պատահարների տարեկան վերլուծության արդյունքներով, էներգատեղակայանքների շահագործումն ու կառավարումն իրականացնող անձանց հետ համատեղ, մարդկանց կյանքի, գույքի և շրջակա միջավայրի՝ տեխնիկական կանոնակարգերով սահմանված նորմերի կատարումն ապահովելու նպատակով.</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3</w:t>
      </w:r>
      <w:r w:rsidRPr="00812FFB">
        <w:rPr>
          <w:rFonts w:ascii="Cambria Math" w:eastAsiaTheme="minorHAnsi" w:hAnsi="Cambria Math" w:cs="Cambria Math"/>
          <w:shd w:val="clear" w:color="auto" w:fill="FFFFFF"/>
          <w:lang w:val="hy-AM" w:eastAsia="en-US"/>
        </w:rPr>
        <w:t>․</w:t>
      </w:r>
      <w:r w:rsidRPr="00812FFB">
        <w:rPr>
          <w:rFonts w:ascii="GHEA Grapalat" w:eastAsiaTheme="minorHAnsi" w:hAnsi="GHEA Grapalat" w:cstheme="minorBidi"/>
          <w:shd w:val="clear" w:color="auto" w:fill="FFFFFF"/>
          <w:lang w:val="hy-AM" w:eastAsia="en-US"/>
        </w:rPr>
        <w:t>իրականացնում է էներգետիկայի բնագավառում գործունեություն իրականացնող տնտեսավարողների և սպառողների կողմից էներգատեղակայանքների տեխնիկական ստուգումների արդյունքներով տեխնիկական կանոնակարգերի պահանջների խախտումներ հայտնաբերելիս՝ ակտ-Փորձագետը վեց ամիսը մեկ ներկայացնում է հաշվետվություն։ կարգադրագրերի կազմման, դրանցում նշված պահանջների կատարման վերահսկման և օրենքով սահմանված պատասխանատվության միջոցների կիրառման համար Վարչության պետին առաջարկության ներկայացման աշխատանքները.</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4</w:t>
      </w:r>
      <w:r w:rsidRPr="00812FFB">
        <w:rPr>
          <w:rFonts w:ascii="Cambria Math" w:eastAsiaTheme="minorHAnsi" w:hAnsi="Cambria Math" w:cs="Cambria Math"/>
          <w:shd w:val="clear" w:color="auto" w:fill="FFFFFF"/>
          <w:lang w:val="hy-AM" w:eastAsia="en-US"/>
        </w:rPr>
        <w:t>․</w:t>
      </w:r>
      <w:r w:rsidRPr="00812FFB">
        <w:rPr>
          <w:rFonts w:ascii="GHEA Grapalat" w:eastAsiaTheme="minorHAnsi" w:hAnsi="GHEA Grapalat" w:cstheme="minorBidi"/>
          <w:shd w:val="clear" w:color="auto" w:fill="FFFFFF"/>
          <w:lang w:val="hy-AM" w:eastAsia="en-US"/>
        </w:rPr>
        <w:t>իրականացնում է տեխնիկական ստուգումների հիման վրա, նոր կառուցվող և վերակառուցող 6 կՎ և բարձր լարման էլեկտրաէներգետիկական, 5.8 ՄՎտ-ից բարձր դրվածքային հզորության ջերմամատակարարման, ինչպես նաև միջին ու բարձր ճնշման գազի համակարգերի էներգատեղակայանքների գործարկման մասին` Հայաստանի Հանրապետության կառավարության սահմանած կարգով տրամադրված եզրակացությունները Վարչության պետին ներկայացման աշխատանքները</w:t>
      </w:r>
      <w:r w:rsidRPr="00812FFB">
        <w:rPr>
          <w:rFonts w:ascii="Cambria Math" w:eastAsiaTheme="minorHAnsi" w:hAnsi="Cambria Math" w:cs="Cambria Math"/>
          <w:shd w:val="clear" w:color="auto" w:fill="FFFFFF"/>
          <w:lang w:val="hy-AM" w:eastAsia="en-US"/>
        </w:rPr>
        <w:t>․</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5</w:t>
      </w:r>
      <w:r w:rsidRPr="00812FFB">
        <w:rPr>
          <w:rFonts w:ascii="Cambria Math" w:eastAsiaTheme="minorHAnsi" w:hAnsi="Cambria Math" w:cs="Cambria Math"/>
          <w:shd w:val="clear" w:color="auto" w:fill="FFFFFF"/>
          <w:lang w:val="hy-AM" w:eastAsia="en-US"/>
        </w:rPr>
        <w:t>․</w:t>
      </w:r>
      <w:r w:rsidRPr="00812FFB">
        <w:rPr>
          <w:rFonts w:ascii="GHEA Grapalat" w:eastAsiaTheme="minorHAnsi" w:hAnsi="GHEA Grapalat" w:cstheme="minorBidi"/>
          <w:shd w:val="clear" w:color="auto" w:fill="FFFFFF"/>
          <w:lang w:val="hy-AM" w:eastAsia="en-US"/>
        </w:rPr>
        <w:t xml:space="preserve">իրականացնում է էներգատեղակայանքներում տեղի ունեցած պատահարների դեպքում Հայաստանի Հանրապետության կառավարության սահմանած կարգով դրանց մասնագիտական քննությունը` տեխնիկական կանոնակարգերի նորմերի խախտումները բացահայտելու և համապատասխան եզրակացություն կազմելու նպատակով. </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lastRenderedPageBreak/>
        <w:t>6</w:t>
      </w:r>
      <w:r w:rsidRPr="00812FFB">
        <w:rPr>
          <w:rFonts w:ascii="Cambria Math" w:eastAsiaTheme="minorHAnsi" w:hAnsi="Cambria Math" w:cs="Cambria Math"/>
          <w:shd w:val="clear" w:color="auto" w:fill="FFFFFF"/>
          <w:lang w:val="hy-AM" w:eastAsia="en-US"/>
        </w:rPr>
        <w:t>․</w:t>
      </w:r>
      <w:r w:rsidRPr="00812FFB">
        <w:rPr>
          <w:rFonts w:ascii="GHEA Grapalat" w:eastAsiaTheme="minorHAnsi" w:hAnsi="GHEA Grapalat" w:cstheme="minorBidi"/>
          <w:shd w:val="clear" w:color="auto" w:fill="FFFFFF"/>
          <w:lang w:val="hy-AM" w:eastAsia="en-US"/>
        </w:rPr>
        <w:t xml:space="preserve">իրականացնում է էներգատեղակայանքներում տեխնիկական կանոնակարգերի նորմերի խախտումների վերլուծության կատարումը և դրանց վերաբերյալ վիճակագրության վարումը. </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7</w:t>
      </w:r>
      <w:r w:rsidRPr="00812FFB">
        <w:rPr>
          <w:rFonts w:ascii="Cambria Math" w:eastAsiaTheme="minorHAnsi" w:hAnsi="Cambria Math" w:cs="Cambria Math"/>
          <w:shd w:val="clear" w:color="auto" w:fill="FFFFFF"/>
          <w:lang w:val="hy-AM" w:eastAsia="en-US"/>
        </w:rPr>
        <w:t>․</w:t>
      </w:r>
      <w:r w:rsidRPr="00812FFB">
        <w:rPr>
          <w:rFonts w:ascii="GHEA Grapalat" w:eastAsiaTheme="minorHAnsi" w:hAnsi="GHEA Grapalat" w:cstheme="minorBidi"/>
          <w:shd w:val="clear" w:color="auto" w:fill="FFFFFF"/>
          <w:lang w:val="hy-AM" w:eastAsia="en-US"/>
        </w:rPr>
        <w:t>իրականացնում է նոր տեխնիկական կանոնակարգեր ընդունելու կամ գործող տեխնիկական կանոնակարգերում փոփոխություններ և լրացումներ կատարելու վերաբերյալ առաջարկությունների ներկայացումը Վարչության պետին.</w:t>
      </w:r>
    </w:p>
    <w:p w:rsidR="00553FFF" w:rsidRPr="00812FFB" w:rsidRDefault="00553FFF" w:rsidP="00812FFB">
      <w:pPr>
        <w:spacing w:after="0" w:line="276" w:lineRule="auto"/>
        <w:ind w:firstLine="450"/>
        <w:jc w:val="both"/>
        <w:rPr>
          <w:rFonts w:ascii="GHEA Grapalat" w:hAnsi="GHEA Grapalat"/>
          <w:sz w:val="24"/>
          <w:szCs w:val="24"/>
          <w:lang w:val="hy-AM"/>
        </w:rPr>
      </w:pPr>
    </w:p>
    <w:p w:rsidR="00682E75" w:rsidRPr="00812FFB"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812FFB">
        <w:rPr>
          <w:rFonts w:ascii="GHEA Grapalat" w:hAnsi="GHEA Grapalat"/>
          <w:lang w:val="hy-AM"/>
        </w:rPr>
        <w:t xml:space="preserve">    </w:t>
      </w:r>
      <w:r w:rsidR="00682E75" w:rsidRPr="00812FFB">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812FFB">
        <w:rPr>
          <w:rFonts w:ascii="GHEA Grapalat" w:eastAsiaTheme="minorHAnsi" w:hAnsi="GHEA Grapalat" w:cstheme="minorBidi"/>
          <w:b/>
          <w:lang w:val="hy-AM"/>
        </w:rPr>
        <w:t xml:space="preserve"> </w:t>
      </w:r>
      <w:r w:rsidR="00682E75" w:rsidRPr="00812FFB">
        <w:rPr>
          <w:rFonts w:ascii="GHEA Grapalat" w:eastAsiaTheme="minorHAnsi" w:hAnsi="GHEA Grapalat" w:cstheme="minorBidi"/>
          <w:b/>
          <w:lang w:val="hy-AM"/>
        </w:rPr>
        <w:t>ժամկետով։</w:t>
      </w:r>
    </w:p>
    <w:p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rsidR="00102EA5" w:rsidRPr="00812FFB" w:rsidRDefault="00102EA5" w:rsidP="00553FFF">
      <w:pPr>
        <w:pStyle w:val="ListParagraph"/>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sz w:val="24"/>
          <w:szCs w:val="24"/>
          <w:lang w:val="hy-AM"/>
        </w:rPr>
        <w:t>Փորձագետին ներկայացվող պահանջները՝</w:t>
      </w:r>
    </w:p>
    <w:p w:rsidR="00102EA5" w:rsidRPr="00812FFB" w:rsidRDefault="00102EA5" w:rsidP="00553FFF">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cs="Arial"/>
          <w:sz w:val="24"/>
          <w:szCs w:val="24"/>
          <w:lang w:val="hy-AM"/>
        </w:rPr>
        <w:t>բա</w:t>
      </w:r>
      <w:r w:rsidRPr="00812FFB">
        <w:rPr>
          <w:rFonts w:ascii="GHEA Grapalat" w:eastAsia="Times New Roman" w:hAnsi="GHEA Grapalat"/>
          <w:sz w:val="24"/>
          <w:szCs w:val="24"/>
          <w:lang w:val="hy-AM"/>
        </w:rPr>
        <w:t>րձրագույն կրթություն,</w:t>
      </w:r>
    </w:p>
    <w:p w:rsidR="00102EA5" w:rsidRPr="00812FFB" w:rsidRDefault="00102EA5" w:rsidP="00553FFF">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w:t>
      </w:r>
      <w:r w:rsidRPr="00812FFB">
        <w:rPr>
          <w:rFonts w:ascii="GHEA Grapalat" w:eastAsia="GHEA Grapalat" w:hAnsi="GHEA Grapalat" w:cs="GHEA Grapalat"/>
          <w:color w:val="000000"/>
          <w:sz w:val="24"/>
          <w:szCs w:val="24"/>
          <w:shd w:val="clear" w:color="auto" w:fill="FFFFFF"/>
          <w:lang w:val="hy-AM"/>
        </w:rPr>
        <w:t>էներգետիկայի կամ ստուգումների կազմակերպման և անցկացման բնագավառում երեք տարվա աշխատանքային ստաժ։</w:t>
      </w:r>
    </w:p>
    <w:p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682E75" w:rsidRPr="00812FFB"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rsidR="00682E75" w:rsidRPr="00812FFB"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Փաստաթղթերի ներկայացման վերջնաժամկետն է` </w:t>
      </w:r>
      <w:r w:rsidR="00553FFF" w:rsidRPr="00812FFB">
        <w:rPr>
          <w:rFonts w:ascii="GHEA Grapalat" w:eastAsiaTheme="minorHAnsi" w:hAnsi="GHEA Grapalat" w:cstheme="minorBidi"/>
          <w:b/>
          <w:bCs/>
          <w:lang w:val="hy-AM"/>
        </w:rPr>
        <w:t>2023</w:t>
      </w:r>
      <w:r w:rsidRPr="00812FFB">
        <w:rPr>
          <w:rFonts w:ascii="GHEA Grapalat" w:eastAsiaTheme="minorHAnsi" w:hAnsi="GHEA Grapalat" w:cstheme="minorBidi"/>
          <w:b/>
          <w:bCs/>
          <w:lang w:val="hy-AM"/>
        </w:rPr>
        <w:t xml:space="preserve"> թվականի հուն</w:t>
      </w:r>
      <w:r w:rsidR="00553FFF" w:rsidRPr="00812FFB">
        <w:rPr>
          <w:rFonts w:ascii="GHEA Grapalat" w:eastAsiaTheme="minorHAnsi" w:hAnsi="GHEA Grapalat" w:cstheme="minorBidi"/>
          <w:b/>
          <w:bCs/>
          <w:lang w:val="hy-AM"/>
        </w:rPr>
        <w:t>վարի 20</w:t>
      </w:r>
      <w:r w:rsidRPr="00812FFB">
        <w:rPr>
          <w:rFonts w:ascii="GHEA Grapalat" w:eastAsiaTheme="minorHAnsi" w:hAnsi="GHEA Grapalat" w:cstheme="minorBidi"/>
          <w:b/>
          <w:bCs/>
          <w:lang w:val="hy-AM"/>
        </w:rPr>
        <w:t>-ը:</w:t>
      </w:r>
    </w:p>
    <w:p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rsidR="00553FFF" w:rsidRPr="00812FFB" w:rsidRDefault="00682E75" w:rsidP="00553FFF">
      <w:pPr>
        <w:pStyle w:val="NormalWeb"/>
        <w:shd w:val="clear" w:color="auto" w:fill="FFFFFF"/>
        <w:spacing w:before="0" w:beforeAutospacing="0" w:after="240" w:afterAutospacing="0" w:line="276" w:lineRule="auto"/>
        <w:jc w:val="both"/>
        <w:rPr>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p w:rsidR="00682E75" w:rsidRPr="00812FFB" w:rsidRDefault="00682E75" w:rsidP="00553FFF">
      <w:pPr>
        <w:pStyle w:val="NormalWeb"/>
        <w:shd w:val="clear" w:color="auto" w:fill="FFFFFF"/>
        <w:spacing w:before="0" w:beforeAutospacing="0" w:after="240" w:afterAutospacing="0" w:line="276" w:lineRule="auto"/>
        <w:jc w:val="both"/>
        <w:rPr>
          <w:rFonts w:ascii="GHEA Grapalat" w:hAnsi="GHEA Grapalat"/>
          <w:lang w:val="hy-AM"/>
        </w:rPr>
      </w:pPr>
    </w:p>
    <w:p w:rsidR="00682E75" w:rsidRPr="00812FFB" w:rsidRDefault="00682E75" w:rsidP="00553FFF">
      <w:pPr>
        <w:spacing w:after="0" w:line="276" w:lineRule="auto"/>
        <w:ind w:right="90"/>
        <w:jc w:val="both"/>
        <w:rPr>
          <w:rFonts w:ascii="GHEA Grapalat" w:eastAsia="Times New Roman" w:hAnsi="GHEA Grapalat"/>
          <w:sz w:val="24"/>
          <w:szCs w:val="24"/>
          <w:lang w:val="hy-AM"/>
        </w:rPr>
      </w:pPr>
    </w:p>
    <w:sectPr w:rsidR="00682E75" w:rsidRPr="00812FFB" w:rsidSect="00812FFB">
      <w:pgSz w:w="11906" w:h="16838"/>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2"/>
  </w:num>
  <w:num w:numId="5">
    <w:abstractNumId w:val="10"/>
  </w:num>
  <w:num w:numId="6">
    <w:abstractNumId w:val="12"/>
  </w:num>
  <w:num w:numId="7">
    <w:abstractNumId w:val="25"/>
  </w:num>
  <w:num w:numId="8">
    <w:abstractNumId w:val="15"/>
  </w:num>
  <w:num w:numId="9">
    <w:abstractNumId w:val="18"/>
  </w:num>
  <w:num w:numId="10">
    <w:abstractNumId w:val="20"/>
  </w:num>
  <w:num w:numId="11">
    <w:abstractNumId w:val="7"/>
  </w:num>
  <w:num w:numId="12">
    <w:abstractNumId w:val="19"/>
  </w:num>
  <w:num w:numId="13">
    <w:abstractNumId w:val="24"/>
  </w:num>
  <w:num w:numId="14">
    <w:abstractNumId w:val="21"/>
  </w:num>
  <w:num w:numId="15">
    <w:abstractNumId w:val="9"/>
  </w:num>
  <w:num w:numId="16">
    <w:abstractNumId w:val="1"/>
  </w:num>
  <w:num w:numId="17">
    <w:abstractNumId w:val="1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4"/>
  </w:num>
  <w:num w:numId="21">
    <w:abstractNumId w:val="0"/>
  </w:num>
  <w:num w:numId="22">
    <w:abstractNumId w:val="2"/>
  </w:num>
  <w:num w:numId="23">
    <w:abstractNumId w:val="16"/>
  </w:num>
  <w:num w:numId="24">
    <w:abstractNumId w:val="23"/>
  </w:num>
  <w:num w:numId="25">
    <w:abstractNumId w:val="17"/>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F1B2B"/>
    <w:rsid w:val="000F5CBE"/>
    <w:rsid w:val="00102EA5"/>
    <w:rsid w:val="00105D71"/>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4925"/>
    <w:rsid w:val="00610236"/>
    <w:rsid w:val="00625A95"/>
    <w:rsid w:val="00632A36"/>
    <w:rsid w:val="006558A3"/>
    <w:rsid w:val="00671D84"/>
    <w:rsid w:val="00673D24"/>
    <w:rsid w:val="0068102F"/>
    <w:rsid w:val="00682E75"/>
    <w:rsid w:val="00694977"/>
    <w:rsid w:val="006A12A8"/>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1D9B"/>
    <w:rsid w:val="00823E8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821D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live.utfsib.am/site/uploads/files/2023-&#1392;&#1377;&#1397;&#1407;&#1377;&#1408;&#1377;&#1408;&#1400;&#1410;&#1385;&#1397;&#1400;&#1410;&#1398;&#1398;&#1381;&#1408;/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FAA3-9AD2-401D-BFD8-14195B59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15</cp:revision>
  <cp:lastPrinted>2022-02-02T11:11:00Z</cp:lastPrinted>
  <dcterms:created xsi:type="dcterms:W3CDTF">2022-03-30T13:11:00Z</dcterms:created>
  <dcterms:modified xsi:type="dcterms:W3CDTF">2023-01-17T13:53:00Z</dcterms:modified>
</cp:coreProperties>
</file>